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C7" w:rsidRPr="002F728E" w:rsidRDefault="003F4BC8" w:rsidP="00291B57">
      <w:pPr>
        <w:shd w:val="clear" w:color="auto" w:fill="660033"/>
        <w:spacing w:after="0" w:line="240" w:lineRule="auto"/>
        <w:rPr>
          <w:rFonts w:eastAsia="Times New Roman"/>
          <w:b/>
          <w:color w:val="FFFFFF"/>
          <w:spacing w:val="10"/>
          <w:sz w:val="32"/>
          <w:szCs w:val="26"/>
          <w:lang w:eastAsia="ru-RU"/>
        </w:rPr>
      </w:pPr>
      <w:r w:rsidRPr="002F728E">
        <w:rPr>
          <w:rFonts w:eastAsia="Times New Roman"/>
          <w:b/>
          <w:color w:val="FFFFFF"/>
          <w:spacing w:val="10"/>
          <w:sz w:val="32"/>
          <w:szCs w:val="26"/>
          <w:lang w:eastAsia="ru-RU"/>
        </w:rPr>
        <w:t>Тренинг тренеров</w:t>
      </w:r>
    </w:p>
    <w:p w:rsidR="00C047C7" w:rsidRPr="002F728E" w:rsidRDefault="00C047C7" w:rsidP="00291B57">
      <w:pPr>
        <w:keepNext/>
        <w:keepLines/>
        <w:spacing w:before="240" w:after="120" w:line="240" w:lineRule="auto"/>
        <w:rPr>
          <w:rFonts w:eastAsia="Times New Roman"/>
          <w:b/>
          <w:color w:val="660033"/>
          <w:sz w:val="26"/>
          <w:szCs w:val="26"/>
          <w:lang w:eastAsia="ru-RU"/>
        </w:rPr>
      </w:pPr>
      <w:r w:rsidRPr="002F728E">
        <w:rPr>
          <w:rFonts w:eastAsia="Times New Roman"/>
          <w:b/>
          <w:color w:val="660033"/>
          <w:sz w:val="26"/>
          <w:szCs w:val="26"/>
          <w:lang w:eastAsia="ru-RU"/>
        </w:rPr>
        <w:t xml:space="preserve">Цели </w:t>
      </w:r>
      <w:r w:rsidR="00EC2ABB" w:rsidRPr="002F728E">
        <w:rPr>
          <w:rFonts w:eastAsia="Times New Roman"/>
          <w:b/>
          <w:color w:val="660033"/>
          <w:sz w:val="26"/>
          <w:szCs w:val="26"/>
          <w:lang w:eastAsia="ru-RU"/>
        </w:rPr>
        <w:t>программы</w:t>
      </w:r>
      <w:r w:rsidRPr="002F728E">
        <w:rPr>
          <w:rFonts w:eastAsia="Times New Roman"/>
          <w:b/>
          <w:color w:val="660033"/>
          <w:sz w:val="26"/>
          <w:szCs w:val="26"/>
          <w:lang w:eastAsia="ru-RU"/>
        </w:rPr>
        <w:t xml:space="preserve"> </w:t>
      </w:r>
    </w:p>
    <w:p w:rsidR="003F4BC8" w:rsidRPr="002F728E" w:rsidRDefault="00EC2ABB" w:rsidP="00CE0761">
      <w:pPr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Развить компетенции, необходимые для проведения тренингов</w:t>
      </w:r>
      <w:r w:rsidR="003F4BC8" w:rsidRPr="002F728E">
        <w:rPr>
          <w:rFonts w:eastAsia="Times New Roman" w:cs="Arial"/>
          <w:sz w:val="24"/>
          <w:szCs w:val="24"/>
          <w:lang w:eastAsia="ru-RU"/>
        </w:rPr>
        <w:t>.</w:t>
      </w:r>
    </w:p>
    <w:p w:rsidR="00291B57" w:rsidRPr="002F728E" w:rsidRDefault="00291B57" w:rsidP="00CE0761">
      <w:pPr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</w:p>
    <w:p w:rsidR="00EC2ABB" w:rsidRPr="002F728E" w:rsidRDefault="00EC2ABB" w:rsidP="00CE0761">
      <w:pPr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В ходе программы участники обучения:</w:t>
      </w:r>
    </w:p>
    <w:p w:rsidR="00EC2ABB" w:rsidRPr="002F728E" w:rsidRDefault="00EC2ABB" w:rsidP="003F4BC8">
      <w:pPr>
        <w:numPr>
          <w:ilvl w:val="0"/>
          <w:numId w:val="35"/>
        </w:numPr>
        <w:tabs>
          <w:tab w:val="left" w:pos="851"/>
        </w:tabs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Поймут специфику и отличие тренинга от других форм обучения.</w:t>
      </w:r>
      <w:r w:rsidR="003F4BC8" w:rsidRPr="002F728E">
        <w:rPr>
          <w:rFonts w:eastAsia="Times New Roman" w:cs="Arial"/>
          <w:sz w:val="24"/>
          <w:szCs w:val="24"/>
          <w:lang w:eastAsia="ru-RU"/>
        </w:rPr>
        <w:t xml:space="preserve"> Изучат принципы и методы работы со взрослой аудиторией.</w:t>
      </w:r>
    </w:p>
    <w:p w:rsidR="003F4BC8" w:rsidRPr="002F728E" w:rsidRDefault="003F4BC8" w:rsidP="003F4BC8">
      <w:pPr>
        <w:numPr>
          <w:ilvl w:val="0"/>
          <w:numId w:val="35"/>
        </w:numPr>
        <w:tabs>
          <w:tab w:val="left" w:pos="851"/>
        </w:tabs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Научаться проводить тренинги, управлять групповой динамикой, смогут повысить интерес к изучаемым темам, работать со сложными участниками, вести дискуссии и выполнять </w:t>
      </w:r>
      <w:proofErr w:type="spellStart"/>
      <w:r w:rsidRPr="002F728E">
        <w:rPr>
          <w:rFonts w:eastAsia="Times New Roman" w:cs="Arial"/>
          <w:sz w:val="24"/>
          <w:szCs w:val="24"/>
          <w:lang w:eastAsia="ru-RU"/>
        </w:rPr>
        <w:t>фасилитацию</w:t>
      </w:r>
      <w:proofErr w:type="spellEnd"/>
      <w:r w:rsidRPr="002F728E">
        <w:rPr>
          <w:rFonts w:eastAsia="Times New Roman" w:cs="Arial"/>
          <w:sz w:val="24"/>
          <w:szCs w:val="24"/>
          <w:lang w:eastAsia="ru-RU"/>
        </w:rPr>
        <w:t xml:space="preserve"> процессов, удерживать тренерскую позицию.</w:t>
      </w:r>
    </w:p>
    <w:p w:rsidR="003F4BC8" w:rsidRPr="002F728E" w:rsidRDefault="003F4BC8" w:rsidP="003F4BC8">
      <w:pPr>
        <w:numPr>
          <w:ilvl w:val="0"/>
          <w:numId w:val="35"/>
        </w:numPr>
        <w:tabs>
          <w:tab w:val="left" w:pos="851"/>
        </w:tabs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Оценят свой тренерский стиль, понять свои сильные и слабые стороны, как тренера. </w:t>
      </w:r>
    </w:p>
    <w:p w:rsidR="003F4BC8" w:rsidRPr="002F728E" w:rsidRDefault="003F4BC8" w:rsidP="003F4BC8">
      <w:pPr>
        <w:numPr>
          <w:ilvl w:val="0"/>
          <w:numId w:val="35"/>
        </w:numPr>
        <w:tabs>
          <w:tab w:val="left" w:pos="851"/>
        </w:tabs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Смогут адаптировать существующие тренинговые программы с учетом целей и особенностей группы обучаемых.</w:t>
      </w:r>
    </w:p>
    <w:p w:rsidR="003F4BC8" w:rsidRPr="002F728E" w:rsidRDefault="003F4BC8" w:rsidP="003F4BC8">
      <w:pPr>
        <w:numPr>
          <w:ilvl w:val="0"/>
          <w:numId w:val="35"/>
        </w:numPr>
        <w:tabs>
          <w:tab w:val="left" w:pos="851"/>
        </w:tabs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Построить программу своего развития, как тренера. Получат рекомендации от ведущего тренера и коллег по обучению.</w:t>
      </w:r>
    </w:p>
    <w:p w:rsidR="003F4BC8" w:rsidRPr="002F728E" w:rsidRDefault="003F4BC8" w:rsidP="00291B57">
      <w:pPr>
        <w:keepNext/>
        <w:keepLines/>
        <w:spacing w:before="240" w:after="120" w:line="240" w:lineRule="auto"/>
        <w:rPr>
          <w:rFonts w:eastAsia="Times New Roman"/>
          <w:b/>
          <w:color w:val="660033"/>
          <w:sz w:val="26"/>
          <w:szCs w:val="26"/>
          <w:lang w:eastAsia="ru-RU"/>
        </w:rPr>
      </w:pPr>
      <w:r w:rsidRPr="002F728E">
        <w:rPr>
          <w:rFonts w:eastAsia="Times New Roman"/>
          <w:b/>
          <w:color w:val="660033"/>
          <w:sz w:val="26"/>
          <w:szCs w:val="26"/>
          <w:lang w:eastAsia="ru-RU"/>
        </w:rPr>
        <w:t xml:space="preserve">Целевая аудитория </w:t>
      </w:r>
    </w:p>
    <w:p w:rsidR="003F4BC8" w:rsidRDefault="003F4BC8" w:rsidP="003F4BC8">
      <w:pPr>
        <w:numPr>
          <w:ilvl w:val="0"/>
          <w:numId w:val="35"/>
        </w:numPr>
        <w:tabs>
          <w:tab w:val="left" w:pos="851"/>
        </w:tabs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Начинающие тренеры</w:t>
      </w:r>
    </w:p>
    <w:p w:rsidR="00FA0278" w:rsidRPr="002F728E" w:rsidRDefault="00FA0278" w:rsidP="003F4BC8">
      <w:pPr>
        <w:numPr>
          <w:ilvl w:val="0"/>
          <w:numId w:val="35"/>
        </w:numPr>
        <w:tabs>
          <w:tab w:val="left" w:pos="851"/>
        </w:tabs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Тренеры среднего уровня</w:t>
      </w:r>
    </w:p>
    <w:p w:rsidR="00CE0761" w:rsidRPr="002F728E" w:rsidRDefault="00CE0761" w:rsidP="00291B57">
      <w:pPr>
        <w:keepNext/>
        <w:keepLines/>
        <w:spacing w:before="240" w:after="120" w:line="240" w:lineRule="auto"/>
        <w:rPr>
          <w:rFonts w:eastAsia="Times New Roman"/>
          <w:b/>
          <w:color w:val="660033"/>
          <w:sz w:val="26"/>
          <w:szCs w:val="26"/>
          <w:lang w:eastAsia="ru-RU"/>
        </w:rPr>
      </w:pPr>
      <w:bookmarkStart w:id="0" w:name="_GoBack"/>
      <w:bookmarkEnd w:id="0"/>
      <w:r w:rsidRPr="002F728E">
        <w:rPr>
          <w:rFonts w:eastAsia="Times New Roman"/>
          <w:b/>
          <w:color w:val="660033"/>
          <w:sz w:val="26"/>
          <w:szCs w:val="26"/>
          <w:lang w:eastAsia="ru-RU"/>
        </w:rPr>
        <w:t xml:space="preserve">Методы, используемые в тренинге </w:t>
      </w:r>
    </w:p>
    <w:p w:rsidR="00CE0761" w:rsidRPr="002F728E" w:rsidRDefault="00CE0761" w:rsidP="00CE0761">
      <w:pPr>
        <w:jc w:val="both"/>
        <w:rPr>
          <w:rFonts w:cs="Arial"/>
          <w:color w:val="000000"/>
          <w:sz w:val="24"/>
        </w:rPr>
      </w:pPr>
      <w:r w:rsidRPr="002F728E">
        <w:rPr>
          <w:rFonts w:cs="Arial"/>
          <w:color w:val="000000"/>
          <w:sz w:val="24"/>
        </w:rPr>
        <w:t>Деловые и ролевые игры, интерактивные лекции, видеотренинг, групповые дискуссии, письменные упражнения, мозговой штурм, тестирование.</w:t>
      </w:r>
    </w:p>
    <w:p w:rsidR="00CE0761" w:rsidRPr="002F728E" w:rsidRDefault="00CE0761" w:rsidP="00291B57">
      <w:pPr>
        <w:keepNext/>
        <w:keepLines/>
        <w:spacing w:before="240" w:after="120" w:line="240" w:lineRule="auto"/>
        <w:rPr>
          <w:rFonts w:eastAsia="Times New Roman"/>
          <w:sz w:val="26"/>
          <w:szCs w:val="26"/>
          <w:lang w:eastAsia="ru-RU"/>
        </w:rPr>
      </w:pPr>
      <w:r w:rsidRPr="002F728E">
        <w:rPr>
          <w:rFonts w:eastAsia="Times New Roman"/>
          <w:b/>
          <w:color w:val="660033"/>
          <w:sz w:val="26"/>
          <w:szCs w:val="26"/>
          <w:lang w:eastAsia="ru-RU"/>
        </w:rPr>
        <w:t>Рекомендуемая продолжительность:</w:t>
      </w:r>
      <w:r w:rsidRPr="002F728E">
        <w:rPr>
          <w:rFonts w:eastAsia="Times New Roman"/>
          <w:sz w:val="26"/>
          <w:szCs w:val="26"/>
          <w:lang w:eastAsia="ru-RU"/>
        </w:rPr>
        <w:t xml:space="preserve"> </w:t>
      </w:r>
      <w:r w:rsidR="00802028" w:rsidRPr="002F728E">
        <w:rPr>
          <w:rFonts w:eastAsia="Times New Roman"/>
          <w:sz w:val="26"/>
          <w:szCs w:val="26"/>
          <w:lang w:eastAsia="ru-RU"/>
        </w:rPr>
        <w:t>2</w:t>
      </w:r>
      <w:r w:rsidRPr="002F728E">
        <w:rPr>
          <w:rFonts w:eastAsia="Times New Roman"/>
          <w:sz w:val="26"/>
          <w:szCs w:val="26"/>
          <w:lang w:eastAsia="ru-RU"/>
        </w:rPr>
        <w:t xml:space="preserve"> дня</w:t>
      </w:r>
      <w:r w:rsidR="00802028" w:rsidRPr="002F728E">
        <w:rPr>
          <w:rFonts w:eastAsia="Times New Roman"/>
          <w:sz w:val="26"/>
          <w:szCs w:val="26"/>
          <w:lang w:eastAsia="ru-RU"/>
        </w:rPr>
        <w:t>. Занятия проводятся с 10.00 до 18.00.</w:t>
      </w:r>
    </w:p>
    <w:p w:rsidR="00C047C7" w:rsidRPr="00291B57" w:rsidRDefault="00291B57" w:rsidP="00291B57">
      <w:pPr>
        <w:shd w:val="clear" w:color="auto" w:fill="660033"/>
        <w:spacing w:before="300" w:after="0" w:line="240" w:lineRule="auto"/>
        <w:rPr>
          <w:rFonts w:eastAsia="Times New Roman"/>
          <w:b/>
          <w:color w:val="FFFFFF"/>
          <w:spacing w:val="20"/>
          <w:sz w:val="28"/>
          <w:szCs w:val="26"/>
          <w:lang w:eastAsia="ru-RU"/>
        </w:rPr>
      </w:pPr>
      <w:r>
        <w:rPr>
          <w:rFonts w:eastAsia="Times New Roman"/>
          <w:b/>
          <w:color w:val="FFFFFF"/>
          <w:spacing w:val="20"/>
          <w:sz w:val="28"/>
          <w:szCs w:val="26"/>
          <w:lang w:eastAsia="ru-RU"/>
        </w:rPr>
        <w:t xml:space="preserve"> </w:t>
      </w:r>
      <w:r w:rsidR="003F4BC8" w:rsidRPr="00291B57">
        <w:rPr>
          <w:rFonts w:eastAsia="Times New Roman"/>
          <w:b/>
          <w:color w:val="FFFFFF"/>
          <w:spacing w:val="20"/>
          <w:sz w:val="28"/>
          <w:szCs w:val="26"/>
          <w:lang w:eastAsia="ru-RU"/>
        </w:rPr>
        <w:t>Программа тренинга</w:t>
      </w:r>
    </w:p>
    <w:p w:rsidR="00C047C7" w:rsidRPr="00291B57" w:rsidRDefault="00C047C7" w:rsidP="00291B57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60033"/>
          <w:sz w:val="24"/>
          <w:szCs w:val="20"/>
          <w:lang w:eastAsia="ru-RU"/>
        </w:rPr>
      </w:pPr>
      <w:r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>Введение</w:t>
      </w:r>
      <w:r w:rsidR="001D34C6"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>. Фундаментальные основы обучения взрослых. Тренинг, как эффективная форма обучения персонала</w:t>
      </w:r>
    </w:p>
    <w:p w:rsidR="00C047C7" w:rsidRPr="002F728E" w:rsidRDefault="006D355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Формы обучения и развития. В чем особенности и специфика т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>ренинг</w:t>
      </w:r>
      <w:r w:rsidRPr="002F728E">
        <w:rPr>
          <w:rFonts w:eastAsia="Times New Roman" w:cs="Arial"/>
          <w:sz w:val="24"/>
          <w:szCs w:val="24"/>
          <w:lang w:eastAsia="ru-RU"/>
        </w:rPr>
        <w:t xml:space="preserve">а. Тренинг, как 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>метод обучения</w:t>
      </w:r>
      <w:r w:rsidR="001D34C6" w:rsidRPr="002F728E">
        <w:rPr>
          <w:rFonts w:eastAsia="Times New Roman" w:cs="Arial"/>
          <w:sz w:val="24"/>
          <w:szCs w:val="24"/>
          <w:lang w:eastAsia="ru-RU"/>
        </w:rPr>
        <w:t>, использующий активное участие обучаемых.</w:t>
      </w:r>
    </w:p>
    <w:p w:rsidR="001D34C6" w:rsidRPr="002F728E" w:rsidRDefault="001D34C6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Функции тренера, выполняемые действия и процедуры.</w:t>
      </w:r>
    </w:p>
    <w:p w:rsidR="001D34C6" w:rsidRPr="002F728E" w:rsidRDefault="001D34C6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Потребности заказчика, группы, тренера. Конфликты интересов и критерии оценки результата.</w:t>
      </w:r>
    </w:p>
    <w:p w:rsidR="001D34C6" w:rsidRPr="002F728E" w:rsidRDefault="001D34C6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Слагаемые успеха тренинга.</w:t>
      </w:r>
    </w:p>
    <w:p w:rsidR="00FF6954" w:rsidRPr="002F728E" w:rsidRDefault="00FF695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Что является целью тренинга.</w:t>
      </w:r>
    </w:p>
    <w:p w:rsidR="001D34C6" w:rsidRPr="002F728E" w:rsidRDefault="001D34C6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Особенности обучения взрослых людей. Андрагогика и Педагогика.</w:t>
      </w:r>
    </w:p>
    <w:p w:rsidR="00C047C7" w:rsidRPr="002F728E" w:rsidRDefault="00C047C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Принципы тренинга</w:t>
      </w:r>
      <w:r w:rsidR="001D34C6" w:rsidRPr="002F728E">
        <w:rPr>
          <w:rFonts w:eastAsia="Times New Roman" w:cs="Arial"/>
          <w:sz w:val="24"/>
          <w:szCs w:val="24"/>
          <w:lang w:eastAsia="ru-RU"/>
        </w:rPr>
        <w:t>. Цикл Колба</w:t>
      </w:r>
      <w:r w:rsidR="003021D0">
        <w:rPr>
          <w:rFonts w:eastAsia="Times New Roman" w:cs="Arial"/>
          <w:sz w:val="24"/>
          <w:szCs w:val="24"/>
          <w:lang w:eastAsia="ru-RU"/>
        </w:rPr>
        <w:t xml:space="preserve"> – цикл обучения взрослых, оптимальные методы обучения</w:t>
      </w:r>
      <w:r w:rsidR="001D34C6" w:rsidRPr="002F728E">
        <w:rPr>
          <w:rFonts w:eastAsia="Times New Roman" w:cs="Arial"/>
          <w:sz w:val="24"/>
          <w:szCs w:val="24"/>
          <w:lang w:eastAsia="ru-RU"/>
        </w:rPr>
        <w:t>.</w:t>
      </w:r>
    </w:p>
    <w:p w:rsidR="00291B57" w:rsidRPr="00291B57" w:rsidRDefault="00291B57" w:rsidP="00291B57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60033"/>
          <w:sz w:val="24"/>
          <w:szCs w:val="20"/>
          <w:lang w:eastAsia="ru-RU"/>
        </w:rPr>
      </w:pPr>
      <w:r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>Тренер и границы полномочий тренера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Цель оправдывает средства? 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Творчество или ремесло. Действия по плану или ситуационный дизайн на тренинге. Границы экспромта тренера и следования за группой.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Уровни воздействие на группу (обучение, коррекция установок, формирование видения, работа с ценностями, воспитание). 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lastRenderedPageBreak/>
        <w:t xml:space="preserve">Индивидуальные особенности групп. 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Тренерская позиция.</w:t>
      </w:r>
    </w:p>
    <w:p w:rsidR="00FF6954" w:rsidRPr="00291B57" w:rsidRDefault="003F4BC8" w:rsidP="00291B57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60033"/>
          <w:sz w:val="24"/>
          <w:szCs w:val="20"/>
          <w:lang w:eastAsia="ru-RU"/>
        </w:rPr>
      </w:pPr>
      <w:r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>Установление контакта с аудиторией, начало тренинга</w:t>
      </w:r>
    </w:p>
    <w:p w:rsidR="00FF6954" w:rsidRPr="002F728E" w:rsidRDefault="00FF695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«Продажа» тренинга Обучаемым.</w:t>
      </w:r>
    </w:p>
    <w:p w:rsidR="00C047C7" w:rsidRPr="002F728E" w:rsidRDefault="00FF695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Начало тренинга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 xml:space="preserve"> </w:t>
      </w:r>
      <w:r w:rsidRPr="002F728E">
        <w:rPr>
          <w:rFonts w:eastAsia="Times New Roman" w:cs="Arial"/>
          <w:sz w:val="24"/>
          <w:szCs w:val="24"/>
          <w:lang w:eastAsia="ru-RU"/>
        </w:rPr>
        <w:t xml:space="preserve">– презентация тренера 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>в соответствии с целями и стилем</w:t>
      </w:r>
      <w:r w:rsidRPr="002F728E">
        <w:rPr>
          <w:rFonts w:eastAsia="Times New Roman" w:cs="Arial"/>
          <w:sz w:val="24"/>
          <w:szCs w:val="24"/>
          <w:lang w:eastAsia="ru-RU"/>
        </w:rPr>
        <w:t xml:space="preserve"> тренера.</w:t>
      </w:r>
    </w:p>
    <w:p w:rsidR="00FF6954" w:rsidRPr="002F728E" w:rsidRDefault="00FF695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Факторы успешной презентации</w:t>
      </w:r>
      <w:r w:rsidR="003F4BC8" w:rsidRPr="002F728E">
        <w:rPr>
          <w:rFonts w:eastAsia="Times New Roman" w:cs="Arial"/>
          <w:sz w:val="24"/>
          <w:szCs w:val="24"/>
          <w:lang w:eastAsia="ru-RU"/>
        </w:rPr>
        <w:t xml:space="preserve"> себя, как тренера</w:t>
      </w:r>
      <w:r w:rsidRPr="002F728E">
        <w:rPr>
          <w:rFonts w:eastAsia="Times New Roman" w:cs="Arial"/>
          <w:sz w:val="24"/>
          <w:szCs w:val="24"/>
          <w:lang w:eastAsia="ru-RU"/>
        </w:rPr>
        <w:t>.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Организация физического пространства. Столы, стулья и «как сидим» - влияние обстановки на контекст тренинга. 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Имидж тренера. Трансляция имиджа через одежду. Харизматическое выделение или подстройка под группу. </w:t>
      </w:r>
    </w:p>
    <w:p w:rsidR="00291B57" w:rsidRPr="00291B57" w:rsidRDefault="00291B57" w:rsidP="00291B57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60033"/>
          <w:sz w:val="24"/>
          <w:szCs w:val="20"/>
          <w:lang w:eastAsia="ru-RU"/>
        </w:rPr>
      </w:pPr>
      <w:r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>Создание у обучаемых мотивации к работе на тренинге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Позиция «здесь и сейчас».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Позиция тренера и участников – «Я имею все права…».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Причина сопротивления обучению.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Тренер и границы применения власти в аудитории.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«Дружить» или «Строить» участников обучения.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Индивидуальные особенности групп. 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Формирование видения, как инструмент мотивации.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Техника SPIN во взаимодействии тренера и группы.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Искусство </w:t>
      </w:r>
      <w:proofErr w:type="spellStart"/>
      <w:r w:rsidRPr="002F728E">
        <w:rPr>
          <w:rFonts w:eastAsia="Times New Roman" w:cs="Arial"/>
          <w:sz w:val="24"/>
          <w:szCs w:val="24"/>
          <w:lang w:eastAsia="ru-RU"/>
        </w:rPr>
        <w:t>проблематизации</w:t>
      </w:r>
      <w:proofErr w:type="spellEnd"/>
      <w:r w:rsidRPr="002F728E">
        <w:rPr>
          <w:rFonts w:eastAsia="Times New Roman" w:cs="Arial"/>
          <w:sz w:val="24"/>
          <w:szCs w:val="24"/>
          <w:lang w:eastAsia="ru-RU"/>
        </w:rPr>
        <w:t>.</w:t>
      </w:r>
    </w:p>
    <w:p w:rsidR="00443DE9" w:rsidRPr="00291B57" w:rsidRDefault="00291B57" w:rsidP="00291B57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60033"/>
          <w:sz w:val="24"/>
          <w:szCs w:val="20"/>
          <w:lang w:eastAsia="ru-RU"/>
        </w:rPr>
      </w:pPr>
      <w:r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>П</w:t>
      </w:r>
      <w:r w:rsidR="00C047C7"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>оддержание контакта с участниками</w:t>
      </w:r>
    </w:p>
    <w:p w:rsidR="00443DE9" w:rsidRPr="002F728E" w:rsidRDefault="00443DE9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Восприятия 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 xml:space="preserve">эмоций </w:t>
      </w:r>
      <w:r w:rsidRPr="002F728E">
        <w:rPr>
          <w:rFonts w:eastAsia="Times New Roman" w:cs="Arial"/>
          <w:sz w:val="24"/>
          <w:szCs w:val="24"/>
          <w:lang w:eastAsia="ru-RU"/>
        </w:rPr>
        <w:t xml:space="preserve">участников 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 xml:space="preserve">и </w:t>
      </w:r>
      <w:r w:rsidRPr="002F728E">
        <w:rPr>
          <w:rFonts w:eastAsia="Times New Roman" w:cs="Arial"/>
          <w:sz w:val="24"/>
          <w:szCs w:val="24"/>
          <w:lang w:eastAsia="ru-RU"/>
        </w:rPr>
        <w:t xml:space="preserve">спонтанные 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>высказывани</w:t>
      </w:r>
      <w:r w:rsidRPr="002F728E">
        <w:rPr>
          <w:rFonts w:eastAsia="Times New Roman" w:cs="Arial"/>
          <w:sz w:val="24"/>
          <w:szCs w:val="24"/>
          <w:lang w:eastAsia="ru-RU"/>
        </w:rPr>
        <w:t>я обучаемых.</w:t>
      </w:r>
      <w:r w:rsidR="0003522E" w:rsidRPr="002F728E">
        <w:rPr>
          <w:rFonts w:eastAsia="Times New Roman" w:cs="Arial"/>
          <w:sz w:val="24"/>
          <w:szCs w:val="24"/>
          <w:lang w:eastAsia="ru-RU"/>
        </w:rPr>
        <w:t xml:space="preserve"> </w:t>
      </w:r>
      <w:r w:rsidRPr="002F728E">
        <w:rPr>
          <w:rFonts w:eastAsia="Times New Roman" w:cs="Arial"/>
          <w:sz w:val="24"/>
          <w:szCs w:val="24"/>
          <w:lang w:eastAsia="ru-RU"/>
        </w:rPr>
        <w:t xml:space="preserve"> Реагирование на конфликтогены.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C047C7" w:rsidRPr="002F728E" w:rsidRDefault="00443DE9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С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>оздание атмосферы доверия и психологического комфорта</w:t>
      </w:r>
      <w:r w:rsidRPr="002F728E">
        <w:rPr>
          <w:rFonts w:eastAsia="Times New Roman" w:cs="Arial"/>
          <w:sz w:val="24"/>
          <w:szCs w:val="24"/>
          <w:lang w:eastAsia="ru-RU"/>
        </w:rPr>
        <w:t>.</w:t>
      </w:r>
    </w:p>
    <w:p w:rsidR="00C047C7" w:rsidRPr="002F728E" w:rsidRDefault="00443DE9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Д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>иагностика ожиданий</w:t>
      </w:r>
      <w:r w:rsidRPr="002F728E">
        <w:rPr>
          <w:rFonts w:eastAsia="Times New Roman" w:cs="Arial"/>
          <w:sz w:val="24"/>
          <w:szCs w:val="24"/>
          <w:lang w:eastAsia="ru-RU"/>
        </w:rPr>
        <w:t xml:space="preserve">. Работа с 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>запрос</w:t>
      </w:r>
      <w:r w:rsidRPr="002F728E">
        <w:rPr>
          <w:rFonts w:eastAsia="Times New Roman" w:cs="Arial"/>
          <w:sz w:val="24"/>
          <w:szCs w:val="24"/>
          <w:lang w:eastAsia="ru-RU"/>
        </w:rPr>
        <w:t>ами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 xml:space="preserve"> участников тренинга</w:t>
      </w:r>
      <w:r w:rsidR="004E7F34" w:rsidRPr="002F728E">
        <w:rPr>
          <w:rFonts w:eastAsia="Times New Roman" w:cs="Arial"/>
          <w:sz w:val="24"/>
          <w:szCs w:val="24"/>
          <w:lang w:eastAsia="ru-RU"/>
        </w:rPr>
        <w:t>.</w:t>
      </w:r>
    </w:p>
    <w:p w:rsidR="00C047C7" w:rsidRPr="002F728E" w:rsidRDefault="00443DE9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У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>правлени</w:t>
      </w:r>
      <w:r w:rsidR="0003522E" w:rsidRPr="002F728E">
        <w:rPr>
          <w:rFonts w:eastAsia="Times New Roman" w:cs="Arial"/>
          <w:sz w:val="24"/>
          <w:szCs w:val="24"/>
          <w:lang w:eastAsia="ru-RU"/>
        </w:rPr>
        <w:t>е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 xml:space="preserve"> коммуникацией в группе</w:t>
      </w:r>
      <w:r w:rsidRPr="002F728E">
        <w:rPr>
          <w:rFonts w:eastAsia="Times New Roman" w:cs="Arial"/>
          <w:sz w:val="24"/>
          <w:szCs w:val="24"/>
          <w:lang w:eastAsia="ru-RU"/>
        </w:rPr>
        <w:t>.</w:t>
      </w:r>
    </w:p>
    <w:p w:rsidR="00C047C7" w:rsidRPr="002F728E" w:rsidRDefault="00443DE9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В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>лияние дистанции, жестикуляции, темпа и громкости речи</w:t>
      </w:r>
      <w:r w:rsidR="004E7F34" w:rsidRPr="002F728E">
        <w:rPr>
          <w:rFonts w:eastAsia="Times New Roman" w:cs="Arial"/>
          <w:sz w:val="24"/>
          <w:szCs w:val="24"/>
          <w:lang w:eastAsia="ru-RU"/>
        </w:rPr>
        <w:t>.</w:t>
      </w:r>
    </w:p>
    <w:p w:rsidR="004E7F34" w:rsidRPr="002F728E" w:rsidRDefault="004E7F3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Перенос фокуса внимания группы с тренера на себя и предмет тренинга.</w:t>
      </w:r>
    </w:p>
    <w:p w:rsidR="00443DE9" w:rsidRPr="00291B57" w:rsidRDefault="00443DE9" w:rsidP="00291B57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60033"/>
          <w:sz w:val="24"/>
          <w:szCs w:val="20"/>
          <w:lang w:eastAsia="ru-RU"/>
        </w:rPr>
      </w:pPr>
      <w:proofErr w:type="spellStart"/>
      <w:r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>Невербалика</w:t>
      </w:r>
      <w:proofErr w:type="spellEnd"/>
      <w:r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 xml:space="preserve"> в работе тренера</w:t>
      </w:r>
    </w:p>
    <w:p w:rsidR="00C047C7" w:rsidRPr="002F728E" w:rsidRDefault="00443DE9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Что транслирует 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>невербально</w:t>
      </w:r>
      <w:r w:rsidR="0003522E" w:rsidRPr="002F728E">
        <w:rPr>
          <w:rFonts w:eastAsia="Times New Roman" w:cs="Arial"/>
          <w:sz w:val="24"/>
          <w:szCs w:val="24"/>
          <w:lang w:eastAsia="ru-RU"/>
        </w:rPr>
        <w:t>е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 xml:space="preserve"> поведени</w:t>
      </w:r>
      <w:r w:rsidR="0003522E" w:rsidRPr="002F728E">
        <w:rPr>
          <w:rFonts w:eastAsia="Times New Roman" w:cs="Arial"/>
          <w:sz w:val="24"/>
          <w:szCs w:val="24"/>
          <w:lang w:eastAsia="ru-RU"/>
        </w:rPr>
        <w:t>е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 xml:space="preserve"> участников тренинга</w:t>
      </w:r>
      <w:r w:rsidRPr="002F728E">
        <w:rPr>
          <w:rFonts w:eastAsia="Times New Roman" w:cs="Arial"/>
          <w:sz w:val="24"/>
          <w:szCs w:val="24"/>
          <w:lang w:eastAsia="ru-RU"/>
        </w:rPr>
        <w:t>.</w:t>
      </w:r>
    </w:p>
    <w:p w:rsidR="00443DE9" w:rsidRPr="002F728E" w:rsidRDefault="00443DE9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Жесты в работе тренера. </w:t>
      </w:r>
      <w:r w:rsidR="00682C0A" w:rsidRPr="002F728E">
        <w:rPr>
          <w:rFonts w:eastAsia="Times New Roman" w:cs="Arial"/>
          <w:sz w:val="24"/>
          <w:szCs w:val="24"/>
          <w:lang w:eastAsia="ru-RU"/>
        </w:rPr>
        <w:t>Конгруэнтность</w:t>
      </w:r>
      <w:r w:rsidRPr="002F728E">
        <w:rPr>
          <w:rFonts w:eastAsia="Times New Roman" w:cs="Arial"/>
          <w:sz w:val="24"/>
          <w:szCs w:val="24"/>
          <w:lang w:eastAsia="ru-RU"/>
        </w:rPr>
        <w:t xml:space="preserve"> </w:t>
      </w:r>
      <w:r w:rsidR="00682C0A" w:rsidRPr="002F728E">
        <w:rPr>
          <w:rFonts w:eastAsia="Times New Roman" w:cs="Arial"/>
          <w:sz w:val="24"/>
          <w:szCs w:val="24"/>
          <w:lang w:eastAsia="ru-RU"/>
        </w:rPr>
        <w:t>получаемой по различным каналам информации.</w:t>
      </w:r>
    </w:p>
    <w:p w:rsidR="00443DE9" w:rsidRPr="002F728E" w:rsidRDefault="00443DE9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Управление невербальным поведением. Усиление влияния на участников.</w:t>
      </w:r>
    </w:p>
    <w:p w:rsidR="00682C0A" w:rsidRPr="002F728E" w:rsidRDefault="00682C0A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Действия (на уровне </w:t>
      </w:r>
      <w:proofErr w:type="spellStart"/>
      <w:r w:rsidRPr="002F728E">
        <w:rPr>
          <w:rFonts w:eastAsia="Times New Roman" w:cs="Arial"/>
          <w:sz w:val="24"/>
          <w:szCs w:val="24"/>
          <w:lang w:eastAsia="ru-RU"/>
        </w:rPr>
        <w:t>невербалики</w:t>
      </w:r>
      <w:proofErr w:type="spellEnd"/>
      <w:r w:rsidRPr="002F728E">
        <w:rPr>
          <w:rFonts w:eastAsia="Times New Roman" w:cs="Arial"/>
          <w:sz w:val="24"/>
          <w:szCs w:val="24"/>
          <w:lang w:eastAsia="ru-RU"/>
        </w:rPr>
        <w:t>)</w:t>
      </w:r>
      <w:r w:rsidR="0003522E" w:rsidRPr="002F728E">
        <w:rPr>
          <w:rFonts w:eastAsia="Times New Roman" w:cs="Arial"/>
          <w:sz w:val="24"/>
          <w:szCs w:val="24"/>
          <w:lang w:eastAsia="ru-RU"/>
        </w:rPr>
        <w:t xml:space="preserve">, </w:t>
      </w:r>
      <w:r w:rsidRPr="002F728E">
        <w:rPr>
          <w:rFonts w:eastAsia="Times New Roman" w:cs="Arial"/>
          <w:sz w:val="24"/>
          <w:szCs w:val="24"/>
          <w:lang w:eastAsia="ru-RU"/>
        </w:rPr>
        <w:t>ведущие к разрыву отношений тренера и обучаемых.</w:t>
      </w:r>
    </w:p>
    <w:p w:rsidR="00C047C7" w:rsidRPr="00291B57" w:rsidRDefault="00682C0A" w:rsidP="00291B57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60033"/>
          <w:sz w:val="24"/>
          <w:szCs w:val="20"/>
          <w:lang w:eastAsia="ru-RU"/>
        </w:rPr>
      </w:pPr>
      <w:r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>У</w:t>
      </w:r>
      <w:r w:rsidR="00C047C7"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>правлени</w:t>
      </w:r>
      <w:r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>е процессом и группой</w:t>
      </w:r>
    </w:p>
    <w:p w:rsidR="00682C0A" w:rsidRPr="002F728E" w:rsidRDefault="00682C0A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Тренер, как лидер и организатор.</w:t>
      </w:r>
    </w:p>
    <w:p w:rsidR="00682C0A" w:rsidRPr="002F728E" w:rsidRDefault="00682C0A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Инструменты управления группой.</w:t>
      </w:r>
    </w:p>
    <w:p w:rsidR="00C047C7" w:rsidRPr="002F728E" w:rsidRDefault="00682C0A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Вопросы к аудитории, как, когда и что спрашивать.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 xml:space="preserve"> </w:t>
      </w:r>
      <w:r w:rsidRPr="002F728E">
        <w:rPr>
          <w:rFonts w:eastAsia="Times New Roman" w:cs="Arial"/>
          <w:sz w:val="24"/>
          <w:szCs w:val="24"/>
          <w:lang w:eastAsia="ru-RU"/>
        </w:rPr>
        <w:t>Виды и назначение вопросов.</w:t>
      </w:r>
    </w:p>
    <w:p w:rsidR="004E7F34" w:rsidRPr="002F728E" w:rsidRDefault="004E7F3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Владение ин</w:t>
      </w:r>
      <w:r w:rsidR="00682C0A" w:rsidRPr="002F728E">
        <w:rPr>
          <w:rFonts w:eastAsia="Times New Roman" w:cs="Arial"/>
          <w:sz w:val="24"/>
          <w:szCs w:val="24"/>
          <w:lang w:eastAsia="ru-RU"/>
        </w:rPr>
        <w:t>ициативой</w:t>
      </w:r>
      <w:r w:rsidRPr="002F728E">
        <w:rPr>
          <w:rFonts w:eastAsia="Times New Roman" w:cs="Arial"/>
          <w:sz w:val="24"/>
          <w:szCs w:val="24"/>
          <w:lang w:eastAsia="ru-RU"/>
        </w:rPr>
        <w:t xml:space="preserve">. Открывающие высказывания, </w:t>
      </w:r>
      <w:proofErr w:type="spellStart"/>
      <w:r w:rsidRPr="002F728E">
        <w:rPr>
          <w:rFonts w:eastAsia="Times New Roman" w:cs="Arial"/>
          <w:sz w:val="24"/>
          <w:szCs w:val="24"/>
          <w:lang w:eastAsia="ru-RU"/>
        </w:rPr>
        <w:t>резюмирование</w:t>
      </w:r>
      <w:proofErr w:type="spellEnd"/>
      <w:r w:rsidRPr="002F728E">
        <w:rPr>
          <w:rFonts w:eastAsia="Times New Roman" w:cs="Arial"/>
          <w:sz w:val="24"/>
          <w:szCs w:val="24"/>
          <w:lang w:eastAsia="ru-RU"/>
        </w:rPr>
        <w:t>, возвышение над группой, «дешевые» приемы получения авторитета.</w:t>
      </w:r>
    </w:p>
    <w:p w:rsidR="00C047C7" w:rsidRPr="002F728E" w:rsidRDefault="004E7F3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Приемы 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>подстройки по темпу</w:t>
      </w:r>
      <w:r w:rsidRPr="002F728E">
        <w:rPr>
          <w:rFonts w:eastAsia="Times New Roman" w:cs="Arial"/>
          <w:sz w:val="24"/>
          <w:szCs w:val="24"/>
          <w:lang w:eastAsia="ru-RU"/>
        </w:rPr>
        <w:t xml:space="preserve">. </w:t>
      </w:r>
      <w:r w:rsidR="0003522E" w:rsidRPr="002F728E">
        <w:rPr>
          <w:rFonts w:eastAsia="Times New Roman" w:cs="Arial"/>
          <w:sz w:val="24"/>
          <w:szCs w:val="24"/>
          <w:lang w:eastAsia="ru-RU"/>
        </w:rPr>
        <w:t xml:space="preserve"> </w:t>
      </w:r>
      <w:r w:rsidRPr="002F728E">
        <w:rPr>
          <w:rFonts w:eastAsia="Times New Roman" w:cs="Arial"/>
          <w:sz w:val="24"/>
          <w:szCs w:val="24"/>
          <w:lang w:eastAsia="ru-RU"/>
        </w:rPr>
        <w:t xml:space="preserve">Паузы, </w:t>
      </w:r>
      <w:proofErr w:type="spellStart"/>
      <w:r w:rsidRPr="002F728E">
        <w:rPr>
          <w:rFonts w:eastAsia="Times New Roman" w:cs="Arial"/>
          <w:sz w:val="24"/>
          <w:szCs w:val="24"/>
          <w:lang w:eastAsia="ru-RU"/>
        </w:rPr>
        <w:t>энеджайзеры</w:t>
      </w:r>
      <w:proofErr w:type="spellEnd"/>
      <w:r w:rsidRPr="002F728E">
        <w:rPr>
          <w:rFonts w:eastAsia="Times New Roman" w:cs="Arial"/>
          <w:sz w:val="24"/>
          <w:szCs w:val="24"/>
          <w:lang w:eastAsia="ru-RU"/>
        </w:rPr>
        <w:t xml:space="preserve"> 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>и т.д.</w:t>
      </w:r>
    </w:p>
    <w:p w:rsidR="00C047C7" w:rsidRPr="002F728E" w:rsidRDefault="004E7F3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Т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>ехники активного слушания (особенности восприятия и передачи информации, искажения информации, коммуникативные нюансы понимания, способы прояснения смысла)</w:t>
      </w:r>
      <w:r w:rsidRPr="002F728E">
        <w:rPr>
          <w:rFonts w:eastAsia="Times New Roman" w:cs="Arial"/>
          <w:sz w:val="24"/>
          <w:szCs w:val="24"/>
          <w:lang w:eastAsia="ru-RU"/>
        </w:rPr>
        <w:t>.</w:t>
      </w:r>
    </w:p>
    <w:p w:rsidR="00C047C7" w:rsidRPr="002F728E" w:rsidRDefault="004E7F3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>арафраз</w:t>
      </w:r>
      <w:r w:rsidR="0003522E" w:rsidRPr="002F728E">
        <w:rPr>
          <w:rFonts w:eastAsia="Times New Roman" w:cs="Arial"/>
          <w:sz w:val="24"/>
          <w:szCs w:val="24"/>
          <w:lang w:eastAsia="ru-RU"/>
        </w:rPr>
        <w:t xml:space="preserve">, 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>как метод «ведения» участников, управления темой дискуссии, нейтрализации сопротивления и деструктивных ролевых проявлений, проработки эмоций в группе</w:t>
      </w:r>
      <w:r w:rsidR="0003522E" w:rsidRPr="002F728E">
        <w:rPr>
          <w:rFonts w:eastAsia="Times New Roman" w:cs="Arial"/>
          <w:sz w:val="24"/>
          <w:szCs w:val="24"/>
          <w:lang w:eastAsia="ru-RU"/>
        </w:rPr>
        <w:t>.</w:t>
      </w:r>
    </w:p>
    <w:p w:rsidR="00291B57" w:rsidRPr="00291B57" w:rsidRDefault="00291B57" w:rsidP="00291B57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60033"/>
          <w:sz w:val="24"/>
          <w:szCs w:val="20"/>
          <w:lang w:eastAsia="ru-RU"/>
        </w:rPr>
      </w:pPr>
      <w:r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>Управление групповой динамикой</w:t>
      </w:r>
    </w:p>
    <w:p w:rsidR="00291B57" w:rsidRPr="002F728E" w:rsidRDefault="00291B57" w:rsidP="002F728E">
      <w:pPr>
        <w:tabs>
          <w:tab w:val="num" w:pos="426"/>
        </w:tabs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Закономерности поведения группы и возможности влиять на группу с учетом этих закономерностей.</w:t>
      </w:r>
    </w:p>
    <w:p w:rsidR="00291B57" w:rsidRPr="002F728E" w:rsidRDefault="00291B57" w:rsidP="002F728E">
      <w:pPr>
        <w:tabs>
          <w:tab w:val="num" w:pos="426"/>
        </w:tabs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Технология работы с агрессией и сопротивлением в группе.</w:t>
      </w:r>
    </w:p>
    <w:p w:rsidR="00291B57" w:rsidRPr="002F728E" w:rsidRDefault="00291B57" w:rsidP="002F728E">
      <w:pPr>
        <w:tabs>
          <w:tab w:val="num" w:pos="426"/>
        </w:tabs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Дискуссии на посторонние темы или споры.</w:t>
      </w:r>
    </w:p>
    <w:p w:rsidR="00291B57" w:rsidRPr="002F728E" w:rsidRDefault="00291B57" w:rsidP="002F728E">
      <w:pPr>
        <w:tabs>
          <w:tab w:val="num" w:pos="426"/>
        </w:tabs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Давление группы.</w:t>
      </w:r>
    </w:p>
    <w:p w:rsidR="00291B57" w:rsidRPr="002F728E" w:rsidRDefault="00291B57" w:rsidP="002F728E">
      <w:pPr>
        <w:tabs>
          <w:tab w:val="num" w:pos="426"/>
        </w:tabs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Способы повышения и понижение динамики в группе.</w:t>
      </w:r>
    </w:p>
    <w:p w:rsidR="004E7F34" w:rsidRPr="00291B57" w:rsidRDefault="004E7F34" w:rsidP="00291B57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60033"/>
          <w:sz w:val="24"/>
          <w:szCs w:val="20"/>
          <w:lang w:eastAsia="ru-RU"/>
        </w:rPr>
      </w:pPr>
      <w:r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>Навык к</w:t>
      </w:r>
      <w:r w:rsidR="00C047C7"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>онструктивн</w:t>
      </w:r>
      <w:r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>ой</w:t>
      </w:r>
      <w:r w:rsidR="00C047C7"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 xml:space="preserve"> обратн</w:t>
      </w:r>
      <w:r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>ой</w:t>
      </w:r>
      <w:r w:rsidR="00C047C7"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 xml:space="preserve"> связ</w:t>
      </w:r>
      <w:r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>и</w:t>
      </w:r>
    </w:p>
    <w:p w:rsidR="004E7F34" w:rsidRPr="002F728E" w:rsidRDefault="004E7F3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Обратная связь</w:t>
      </w:r>
      <w:r w:rsidR="0003522E" w:rsidRPr="002F728E">
        <w:rPr>
          <w:rFonts w:eastAsia="Times New Roman" w:cs="Arial"/>
          <w:sz w:val="24"/>
          <w:szCs w:val="24"/>
          <w:lang w:eastAsia="ru-RU"/>
        </w:rPr>
        <w:t>,</w:t>
      </w:r>
      <w:r w:rsidRPr="002F728E">
        <w:rPr>
          <w:rFonts w:eastAsia="Times New Roman" w:cs="Arial"/>
          <w:sz w:val="24"/>
          <w:szCs w:val="24"/>
          <w:lang w:eastAsia="ru-RU"/>
        </w:rPr>
        <w:t xml:space="preserve"> как метод обучения.</w:t>
      </w:r>
    </w:p>
    <w:p w:rsidR="00C047C7" w:rsidRPr="002F728E" w:rsidRDefault="004E7F3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Мотивирующая, корректирующая и прерывающая 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>обратн</w:t>
      </w:r>
      <w:r w:rsidRPr="002F728E">
        <w:rPr>
          <w:rFonts w:eastAsia="Times New Roman" w:cs="Arial"/>
          <w:sz w:val="24"/>
          <w:szCs w:val="24"/>
          <w:lang w:eastAsia="ru-RU"/>
        </w:rPr>
        <w:t>ая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 xml:space="preserve"> связ</w:t>
      </w:r>
      <w:r w:rsidRPr="002F728E">
        <w:rPr>
          <w:rFonts w:eastAsia="Times New Roman" w:cs="Arial"/>
          <w:sz w:val="24"/>
          <w:szCs w:val="24"/>
          <w:lang w:eastAsia="ru-RU"/>
        </w:rPr>
        <w:t>ь.</w:t>
      </w:r>
    </w:p>
    <w:p w:rsidR="00C047C7" w:rsidRPr="002F728E" w:rsidRDefault="004E7F3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>ринципы построения конструктивной обратной связи</w:t>
      </w:r>
      <w:r w:rsidRPr="002F728E">
        <w:rPr>
          <w:rFonts w:eastAsia="Times New Roman" w:cs="Arial"/>
          <w:sz w:val="24"/>
          <w:szCs w:val="24"/>
          <w:lang w:eastAsia="ru-RU"/>
        </w:rPr>
        <w:t>.</w:t>
      </w:r>
    </w:p>
    <w:p w:rsidR="00C047C7" w:rsidRPr="002F728E" w:rsidRDefault="004E7F3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О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>тработка навыков построения конструктивной обратной связи</w:t>
      </w:r>
      <w:r w:rsidRPr="002F728E">
        <w:rPr>
          <w:rFonts w:eastAsia="Times New Roman" w:cs="Arial"/>
          <w:sz w:val="24"/>
          <w:szCs w:val="24"/>
          <w:lang w:eastAsia="ru-RU"/>
        </w:rPr>
        <w:t>.</w:t>
      </w:r>
    </w:p>
    <w:p w:rsidR="004E7F34" w:rsidRPr="002F728E" w:rsidRDefault="004E7F3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Управление обратной связью от обучаемых </w:t>
      </w:r>
      <w:r w:rsidR="00A10BA5" w:rsidRPr="002F728E">
        <w:rPr>
          <w:rFonts w:eastAsia="Times New Roman" w:cs="Arial"/>
          <w:sz w:val="24"/>
          <w:szCs w:val="24"/>
          <w:lang w:eastAsia="ru-RU"/>
        </w:rPr>
        <w:t xml:space="preserve">к </w:t>
      </w:r>
      <w:r w:rsidRPr="002F728E">
        <w:rPr>
          <w:rFonts w:eastAsia="Times New Roman" w:cs="Arial"/>
          <w:sz w:val="24"/>
          <w:szCs w:val="24"/>
          <w:lang w:eastAsia="ru-RU"/>
        </w:rPr>
        <w:t>обучаемому.</w:t>
      </w:r>
    </w:p>
    <w:p w:rsidR="004E7F34" w:rsidRPr="002F728E" w:rsidRDefault="004E7F3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Персональная чувствительность к восприятию обратной связи.</w:t>
      </w:r>
    </w:p>
    <w:p w:rsidR="004E7F34" w:rsidRPr="002F728E" w:rsidRDefault="004E7F3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В каких ситуациях обратная связь недопустима.</w:t>
      </w:r>
    </w:p>
    <w:p w:rsidR="00291B57" w:rsidRPr="00291B57" w:rsidRDefault="00291B57" w:rsidP="00291B57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60033"/>
          <w:sz w:val="24"/>
          <w:szCs w:val="20"/>
          <w:lang w:eastAsia="ru-RU"/>
        </w:rPr>
      </w:pPr>
      <w:r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>Персональные стили тренеров и соответствие стиля моменту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Существующие стили ведения тренингов.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Предпочтения аудитории и требования, обеспечивающие результативность.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Оценка обучаемыми собственных предпочтений.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Стиль и соответствующие компетенции тренера («заводила», «</w:t>
      </w:r>
      <w:proofErr w:type="spellStart"/>
      <w:r w:rsidRPr="002F728E">
        <w:rPr>
          <w:rFonts w:eastAsia="Times New Roman" w:cs="Arial"/>
          <w:sz w:val="24"/>
          <w:szCs w:val="24"/>
          <w:lang w:eastAsia="ru-RU"/>
        </w:rPr>
        <w:t>фасилитатор</w:t>
      </w:r>
      <w:proofErr w:type="spellEnd"/>
      <w:r w:rsidRPr="002F728E">
        <w:rPr>
          <w:rFonts w:eastAsia="Times New Roman" w:cs="Arial"/>
          <w:sz w:val="24"/>
          <w:szCs w:val="24"/>
          <w:lang w:eastAsia="ru-RU"/>
        </w:rPr>
        <w:t>», «краснобай», «дрессировщик»).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Парадигмы тренинга («</w:t>
      </w:r>
      <w:proofErr w:type="spellStart"/>
      <w:r w:rsidRPr="002F728E">
        <w:rPr>
          <w:rFonts w:eastAsia="Times New Roman" w:cs="Arial"/>
          <w:sz w:val="24"/>
          <w:szCs w:val="24"/>
          <w:lang w:eastAsia="ru-RU"/>
        </w:rPr>
        <w:t>отношенческая</w:t>
      </w:r>
      <w:proofErr w:type="spellEnd"/>
      <w:r w:rsidRPr="002F728E">
        <w:rPr>
          <w:rFonts w:eastAsia="Times New Roman" w:cs="Arial"/>
          <w:sz w:val="24"/>
          <w:szCs w:val="24"/>
          <w:lang w:eastAsia="ru-RU"/>
        </w:rPr>
        <w:t>», «индустриальная», «воспитательная»).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Направления развития обучаемых, как тренеров.</w:t>
      </w:r>
    </w:p>
    <w:p w:rsidR="00693B22" w:rsidRPr="00291B57" w:rsidRDefault="00693B22" w:rsidP="00291B57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60033"/>
          <w:sz w:val="24"/>
          <w:szCs w:val="20"/>
          <w:lang w:eastAsia="ru-RU"/>
        </w:rPr>
      </w:pPr>
      <w:r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 xml:space="preserve">Индивидуальное развитие </w:t>
      </w:r>
      <w:r w:rsid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>тренера</w:t>
      </w:r>
    </w:p>
    <w:p w:rsidR="00693B22" w:rsidRPr="002F728E" w:rsidRDefault="002F728E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Компетенции тренера</w:t>
      </w:r>
      <w:r w:rsidR="00693B22" w:rsidRPr="002F728E">
        <w:rPr>
          <w:rFonts w:eastAsia="Times New Roman" w:cs="Arial"/>
          <w:sz w:val="24"/>
          <w:szCs w:val="24"/>
          <w:lang w:eastAsia="ru-RU"/>
        </w:rPr>
        <w:t>.</w:t>
      </w:r>
    </w:p>
    <w:p w:rsidR="00693B22" w:rsidRPr="002F728E" w:rsidRDefault="002F728E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Развивать недостающее или «играть на своем поле»</w:t>
      </w:r>
      <w:r w:rsidR="00693B22" w:rsidRPr="002F728E">
        <w:rPr>
          <w:rFonts w:eastAsia="Times New Roman" w:cs="Arial"/>
          <w:sz w:val="24"/>
          <w:szCs w:val="24"/>
          <w:lang w:eastAsia="ru-RU"/>
        </w:rPr>
        <w:t>.</w:t>
      </w:r>
    </w:p>
    <w:p w:rsidR="00693B22" w:rsidRPr="002F728E" w:rsidRDefault="002F728E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Как развить необходимые личные качества.</w:t>
      </w:r>
    </w:p>
    <w:p w:rsidR="00693B22" w:rsidRPr="002F728E" w:rsidRDefault="002F728E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Как повысить профессиональные навыки</w:t>
      </w:r>
      <w:r w:rsidR="00693B22" w:rsidRPr="002F728E">
        <w:rPr>
          <w:rFonts w:eastAsia="Times New Roman" w:cs="Arial"/>
          <w:sz w:val="24"/>
          <w:szCs w:val="24"/>
          <w:lang w:eastAsia="ru-RU"/>
        </w:rPr>
        <w:t>.</w:t>
      </w:r>
    </w:p>
    <w:p w:rsidR="00693B22" w:rsidRPr="00291B57" w:rsidRDefault="00693B22" w:rsidP="00291B57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60033"/>
          <w:sz w:val="24"/>
          <w:szCs w:val="20"/>
          <w:lang w:eastAsia="ru-RU"/>
        </w:rPr>
      </w:pPr>
      <w:r w:rsidRPr="00291B57">
        <w:rPr>
          <w:rFonts w:eastAsia="Times New Roman" w:cs="Calibri"/>
          <w:b/>
          <w:bCs/>
          <w:color w:val="660033"/>
          <w:sz w:val="24"/>
          <w:szCs w:val="20"/>
          <w:lang w:eastAsia="ru-RU"/>
        </w:rPr>
        <w:t>Предоставление Заказчику результатов обучения</w:t>
      </w:r>
    </w:p>
    <w:p w:rsidR="00693B22" w:rsidRPr="002F728E" w:rsidRDefault="00693B22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Что ждет Заказчик от проведенного обучения. Мотивы и потребности Заказчика.</w:t>
      </w:r>
    </w:p>
    <w:p w:rsidR="00693B22" w:rsidRPr="002F728E" w:rsidRDefault="00693B22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Продажа результатов – продажа идей.</w:t>
      </w:r>
    </w:p>
    <w:p w:rsidR="00693B22" w:rsidRPr="002F728E" w:rsidRDefault="00693B22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По каким критериям производится оценка </w:t>
      </w:r>
      <w:r w:rsidR="002F728E" w:rsidRPr="002F728E">
        <w:rPr>
          <w:rFonts w:eastAsia="Times New Roman" w:cs="Arial"/>
          <w:sz w:val="24"/>
          <w:szCs w:val="24"/>
          <w:lang w:eastAsia="ru-RU"/>
        </w:rPr>
        <w:t>эффективности тренинга</w:t>
      </w:r>
      <w:r w:rsidRPr="002F728E">
        <w:rPr>
          <w:rFonts w:eastAsia="Times New Roman" w:cs="Arial"/>
          <w:sz w:val="24"/>
          <w:szCs w:val="24"/>
          <w:lang w:eastAsia="ru-RU"/>
        </w:rPr>
        <w:t>.</w:t>
      </w:r>
      <w:r w:rsidR="002F728E" w:rsidRPr="002F728E">
        <w:rPr>
          <w:rFonts w:eastAsia="Times New Roman" w:cs="Arial"/>
          <w:sz w:val="24"/>
          <w:szCs w:val="24"/>
          <w:lang w:eastAsia="ru-RU"/>
        </w:rPr>
        <w:t xml:space="preserve"> Волшебный, всемирно известный Киркпатрик и его модель оценки эффективности. 5 уровней оценки эффективности тренинга и российская реальность – практика сотен компаний.</w:t>
      </w:r>
    </w:p>
    <w:p w:rsidR="00693B22" w:rsidRPr="002F728E" w:rsidRDefault="00693B22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Границы конфиденциальности. Описание группы и описание отдельных сотрудников.</w:t>
      </w:r>
    </w:p>
    <w:p w:rsidR="00693B22" w:rsidRPr="002F728E" w:rsidRDefault="00693B22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Технология предоставления обратной связи Заказчику.</w:t>
      </w:r>
    </w:p>
    <w:sectPr w:rsidR="00693B22" w:rsidRPr="002F728E" w:rsidSect="003F4BC8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numPicBullet w:numPicBulletId="4">
    <w:pict>
      <v:shape id="_x0000_i1029" type="#_x0000_t75" style="width:3in;height:3in" o:bullet="t"/>
    </w:pict>
  </w:numPicBullet>
  <w:numPicBullet w:numPicBulletId="5">
    <w:pict>
      <v:shape id="_x0000_i1030" type="#_x0000_t75" style="width:3in;height:3in" o:bullet="t"/>
    </w:pict>
  </w:numPicBullet>
  <w:numPicBullet w:numPicBulletId="6">
    <w:pict>
      <v:shape id="_x0000_i1031" type="#_x0000_t75" style="width:3in;height:3in" o:bullet="t"/>
    </w:pict>
  </w:numPicBullet>
  <w:numPicBullet w:numPicBulletId="7">
    <w:pict>
      <v:shape id="_x0000_i1032" type="#_x0000_t75" style="width:3in;height:3in" o:bullet="t"/>
    </w:pict>
  </w:numPicBullet>
  <w:numPicBullet w:numPicBulletId="8">
    <w:pict>
      <v:shape id="_x0000_i1033" type="#_x0000_t75" style="width:3in;height:3in" o:bullet="t"/>
    </w:pict>
  </w:numPicBullet>
  <w:numPicBullet w:numPicBulletId="9">
    <w:pict>
      <v:shape id="_x0000_i1034" type="#_x0000_t75" style="width:3in;height:3in" o:bullet="t"/>
    </w:pict>
  </w:numPicBullet>
  <w:numPicBullet w:numPicBulletId="10">
    <w:pict>
      <v:shape id="_x0000_i1035" type="#_x0000_t75" style="width:3in;height:3in" o:bullet="t"/>
    </w:pict>
  </w:numPicBullet>
  <w:numPicBullet w:numPicBulletId="11">
    <w:pict>
      <v:shape id="_x0000_i1036" type="#_x0000_t75" style="width:3in;height:3in" o:bullet="t"/>
    </w:pict>
  </w:numPicBullet>
  <w:numPicBullet w:numPicBulletId="12">
    <w:pict>
      <v:shape id="_x0000_i1037" type="#_x0000_t75" style="width:3in;height:3in" o:bullet="t"/>
    </w:pict>
  </w:numPicBullet>
  <w:numPicBullet w:numPicBulletId="13">
    <w:pict>
      <v:shape id="_x0000_i1038" type="#_x0000_t75" style="width:3in;height:3in" o:bullet="t"/>
    </w:pict>
  </w:numPicBullet>
  <w:numPicBullet w:numPicBulletId="14">
    <w:pict>
      <v:shape id="_x0000_i1039" type="#_x0000_t75" style="width:3in;height:3in" o:bullet="t"/>
    </w:pict>
  </w:numPicBullet>
  <w:numPicBullet w:numPicBulletId="15">
    <w:pict>
      <v:shape id="_x0000_i1040" type="#_x0000_t75" style="width:3in;height:3in" o:bullet="t"/>
    </w:pict>
  </w:numPicBullet>
  <w:numPicBullet w:numPicBulletId="16">
    <w:pict>
      <v:shape id="_x0000_i1041" type="#_x0000_t75" style="width:3in;height:3in" o:bullet="t"/>
    </w:pict>
  </w:numPicBullet>
  <w:numPicBullet w:numPicBulletId="17">
    <w:pict>
      <v:shape id="_x0000_i1042" type="#_x0000_t75" style="width:3in;height:3in" o:bullet="t"/>
    </w:pict>
  </w:numPicBullet>
  <w:abstractNum w:abstractNumId="0" w15:restartNumberingAfterBreak="0">
    <w:nsid w:val="03F6160A"/>
    <w:multiLevelType w:val="multilevel"/>
    <w:tmpl w:val="5956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E3D6B"/>
    <w:multiLevelType w:val="multilevel"/>
    <w:tmpl w:val="D5B0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71350"/>
    <w:multiLevelType w:val="multilevel"/>
    <w:tmpl w:val="2022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C708F"/>
    <w:multiLevelType w:val="multilevel"/>
    <w:tmpl w:val="FB7C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2174D"/>
    <w:multiLevelType w:val="multilevel"/>
    <w:tmpl w:val="34225612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23F36"/>
    <w:multiLevelType w:val="multilevel"/>
    <w:tmpl w:val="8AAE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22E6A"/>
    <w:multiLevelType w:val="hybridMultilevel"/>
    <w:tmpl w:val="C6D0AD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2057C37"/>
    <w:multiLevelType w:val="multilevel"/>
    <w:tmpl w:val="34D4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0B4170"/>
    <w:multiLevelType w:val="multilevel"/>
    <w:tmpl w:val="5630DE2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3622ED"/>
    <w:multiLevelType w:val="multilevel"/>
    <w:tmpl w:val="52DAD4A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52CAE"/>
    <w:multiLevelType w:val="hybridMultilevel"/>
    <w:tmpl w:val="C330A5C2"/>
    <w:lvl w:ilvl="0" w:tplc="041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19E63883"/>
    <w:multiLevelType w:val="multilevel"/>
    <w:tmpl w:val="8F6A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466F38"/>
    <w:multiLevelType w:val="multilevel"/>
    <w:tmpl w:val="2710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456BC4"/>
    <w:multiLevelType w:val="multilevel"/>
    <w:tmpl w:val="1C625C7A"/>
    <w:lvl w:ilvl="0">
      <w:start w:val="1"/>
      <w:numFmt w:val="bullet"/>
      <w:lvlText w:val="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C72332"/>
    <w:multiLevelType w:val="multilevel"/>
    <w:tmpl w:val="F2F4305E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BD2616"/>
    <w:multiLevelType w:val="multilevel"/>
    <w:tmpl w:val="9106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B51B99"/>
    <w:multiLevelType w:val="multilevel"/>
    <w:tmpl w:val="C0C6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E4115F"/>
    <w:multiLevelType w:val="multilevel"/>
    <w:tmpl w:val="17C8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20535F"/>
    <w:multiLevelType w:val="multilevel"/>
    <w:tmpl w:val="689A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917A2C"/>
    <w:multiLevelType w:val="multilevel"/>
    <w:tmpl w:val="75E0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E4389D"/>
    <w:multiLevelType w:val="multilevel"/>
    <w:tmpl w:val="25DC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A17DB6"/>
    <w:multiLevelType w:val="multilevel"/>
    <w:tmpl w:val="E9DC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110A94"/>
    <w:multiLevelType w:val="multilevel"/>
    <w:tmpl w:val="1968299C"/>
    <w:lvl w:ilvl="0">
      <w:start w:val="1"/>
      <w:numFmt w:val="bullet"/>
      <w:lvlText w:val=""/>
      <w:lvlPicBulletId w:val="1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1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C16744"/>
    <w:multiLevelType w:val="multilevel"/>
    <w:tmpl w:val="C778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D1388D"/>
    <w:multiLevelType w:val="multilevel"/>
    <w:tmpl w:val="96EA0012"/>
    <w:lvl w:ilvl="0">
      <w:start w:val="1"/>
      <w:numFmt w:val="bullet"/>
      <w:lvlText w:val=""/>
      <w:lvlPicBulletId w:val="1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923AC0"/>
    <w:multiLevelType w:val="multilevel"/>
    <w:tmpl w:val="1ABE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647C9B"/>
    <w:multiLevelType w:val="hybridMultilevel"/>
    <w:tmpl w:val="CC46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348B4"/>
    <w:multiLevelType w:val="multilevel"/>
    <w:tmpl w:val="E936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475C01"/>
    <w:multiLevelType w:val="multilevel"/>
    <w:tmpl w:val="CD0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9C7084"/>
    <w:multiLevelType w:val="multilevel"/>
    <w:tmpl w:val="6F8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7E5060"/>
    <w:multiLevelType w:val="hybridMultilevel"/>
    <w:tmpl w:val="54C2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F0D51"/>
    <w:multiLevelType w:val="multilevel"/>
    <w:tmpl w:val="3C9A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57124B"/>
    <w:multiLevelType w:val="multilevel"/>
    <w:tmpl w:val="1AFA3FAC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C27CE8"/>
    <w:multiLevelType w:val="multilevel"/>
    <w:tmpl w:val="587875FE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6F2D51"/>
    <w:multiLevelType w:val="multilevel"/>
    <w:tmpl w:val="5B2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6D2623"/>
    <w:multiLevelType w:val="multilevel"/>
    <w:tmpl w:val="6FBA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210F42"/>
    <w:multiLevelType w:val="multilevel"/>
    <w:tmpl w:val="2E560956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5"/>
  </w:num>
  <w:num w:numId="4">
    <w:abstractNumId w:val="18"/>
  </w:num>
  <w:num w:numId="5">
    <w:abstractNumId w:val="21"/>
  </w:num>
  <w:num w:numId="6">
    <w:abstractNumId w:val="17"/>
  </w:num>
  <w:num w:numId="7">
    <w:abstractNumId w:val="35"/>
  </w:num>
  <w:num w:numId="8">
    <w:abstractNumId w:val="25"/>
  </w:num>
  <w:num w:numId="9">
    <w:abstractNumId w:val="16"/>
  </w:num>
  <w:num w:numId="10">
    <w:abstractNumId w:val="13"/>
  </w:num>
  <w:num w:numId="11">
    <w:abstractNumId w:val="27"/>
  </w:num>
  <w:num w:numId="12">
    <w:abstractNumId w:val="15"/>
  </w:num>
  <w:num w:numId="13">
    <w:abstractNumId w:val="29"/>
  </w:num>
  <w:num w:numId="14">
    <w:abstractNumId w:val="31"/>
  </w:num>
  <w:num w:numId="15">
    <w:abstractNumId w:val="11"/>
  </w:num>
  <w:num w:numId="16">
    <w:abstractNumId w:val="3"/>
  </w:num>
  <w:num w:numId="17">
    <w:abstractNumId w:val="28"/>
  </w:num>
  <w:num w:numId="18">
    <w:abstractNumId w:val="0"/>
  </w:num>
  <w:num w:numId="19">
    <w:abstractNumId w:val="12"/>
  </w:num>
  <w:num w:numId="20">
    <w:abstractNumId w:val="19"/>
  </w:num>
  <w:num w:numId="21">
    <w:abstractNumId w:val="34"/>
  </w:num>
  <w:num w:numId="22">
    <w:abstractNumId w:val="20"/>
  </w:num>
  <w:num w:numId="23">
    <w:abstractNumId w:val="2"/>
  </w:num>
  <w:num w:numId="24">
    <w:abstractNumId w:val="7"/>
  </w:num>
  <w:num w:numId="25">
    <w:abstractNumId w:val="9"/>
  </w:num>
  <w:num w:numId="26">
    <w:abstractNumId w:val="32"/>
  </w:num>
  <w:num w:numId="27">
    <w:abstractNumId w:val="4"/>
  </w:num>
  <w:num w:numId="28">
    <w:abstractNumId w:val="14"/>
  </w:num>
  <w:num w:numId="29">
    <w:abstractNumId w:val="33"/>
  </w:num>
  <w:num w:numId="30">
    <w:abstractNumId w:val="8"/>
  </w:num>
  <w:num w:numId="31">
    <w:abstractNumId w:val="36"/>
  </w:num>
  <w:num w:numId="32">
    <w:abstractNumId w:val="22"/>
  </w:num>
  <w:num w:numId="33">
    <w:abstractNumId w:val="24"/>
  </w:num>
  <w:num w:numId="34">
    <w:abstractNumId w:val="26"/>
  </w:num>
  <w:num w:numId="35">
    <w:abstractNumId w:val="6"/>
  </w:num>
  <w:num w:numId="36">
    <w:abstractNumId w:val="3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B6"/>
    <w:rsid w:val="0003522E"/>
    <w:rsid w:val="00054152"/>
    <w:rsid w:val="001D34C6"/>
    <w:rsid w:val="00263B31"/>
    <w:rsid w:val="00291B57"/>
    <w:rsid w:val="002F728E"/>
    <w:rsid w:val="003021D0"/>
    <w:rsid w:val="003F4BC8"/>
    <w:rsid w:val="00443DE9"/>
    <w:rsid w:val="0049009F"/>
    <w:rsid w:val="004E7F34"/>
    <w:rsid w:val="004F3BB6"/>
    <w:rsid w:val="005463E7"/>
    <w:rsid w:val="005B1756"/>
    <w:rsid w:val="00682C0A"/>
    <w:rsid w:val="00693B22"/>
    <w:rsid w:val="006D3554"/>
    <w:rsid w:val="007569BC"/>
    <w:rsid w:val="007E60E9"/>
    <w:rsid w:val="00802028"/>
    <w:rsid w:val="00831B90"/>
    <w:rsid w:val="008366A7"/>
    <w:rsid w:val="008A32E5"/>
    <w:rsid w:val="008C2026"/>
    <w:rsid w:val="00937D42"/>
    <w:rsid w:val="00A10BA5"/>
    <w:rsid w:val="00B16F3E"/>
    <w:rsid w:val="00B3436C"/>
    <w:rsid w:val="00C047C7"/>
    <w:rsid w:val="00CE0761"/>
    <w:rsid w:val="00E153C6"/>
    <w:rsid w:val="00E91F47"/>
    <w:rsid w:val="00EC2ABB"/>
    <w:rsid w:val="00FA0278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73C6"/>
  <w15:chartTrackingRefBased/>
  <w15:docId w15:val="{E212299D-47DD-4E09-9263-B6ACA399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F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color w:val="3E9503"/>
      <w:kern w:val="36"/>
      <w:sz w:val="35"/>
      <w:szCs w:val="35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B3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F3BB6"/>
    <w:rPr>
      <w:rFonts w:ascii="Times New Roman" w:eastAsia="Times New Roman" w:hAnsi="Times New Roman" w:cs="Times New Roman"/>
      <w:color w:val="3E9503"/>
      <w:kern w:val="36"/>
      <w:sz w:val="35"/>
      <w:szCs w:val="35"/>
      <w:lang w:eastAsia="ru-RU"/>
    </w:rPr>
  </w:style>
  <w:style w:type="paragraph" w:styleId="a3">
    <w:name w:val="Normal (Web)"/>
    <w:basedOn w:val="a"/>
    <w:uiPriority w:val="99"/>
    <w:semiHidden/>
    <w:unhideWhenUsed/>
    <w:rsid w:val="004F3BB6"/>
    <w:pPr>
      <w:spacing w:before="100" w:beforeAutospacing="1" w:after="100" w:afterAutospacing="1" w:line="210" w:lineRule="atLeast"/>
    </w:pPr>
    <w:rPr>
      <w:rFonts w:ascii="Tahoma" w:eastAsia="Times New Roman" w:hAnsi="Tahoma" w:cs="Tahoma"/>
      <w:sz w:val="18"/>
      <w:szCs w:val="18"/>
      <w:lang w:eastAsia="ru-RU"/>
    </w:rPr>
  </w:style>
  <w:style w:type="character" w:styleId="a4">
    <w:name w:val="Strong"/>
    <w:uiPriority w:val="22"/>
    <w:qFormat/>
    <w:rsid w:val="004F3BB6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63B31"/>
    <w:rPr>
      <w:rFonts w:ascii="Cambria" w:eastAsia="Times New Roman" w:hAnsi="Cambria" w:cs="Times New Roman"/>
      <w:b/>
      <w:bCs/>
      <w:color w:val="4F81BD"/>
    </w:rPr>
  </w:style>
  <w:style w:type="character" w:styleId="a5">
    <w:name w:val="Hyperlink"/>
    <w:uiPriority w:val="99"/>
    <w:semiHidden/>
    <w:unhideWhenUsed/>
    <w:rsid w:val="00263B31"/>
    <w:rPr>
      <w:color w:val="5D6E8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31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3055">
          <w:marLeft w:val="300"/>
          <w:marRight w:val="18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6107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3325">
          <w:marLeft w:val="300"/>
          <w:marRight w:val="18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4800">
          <w:marLeft w:val="300"/>
          <w:marRight w:val="18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Сергей</dc:creator>
  <cp:keywords>Тренинг тренеров</cp:keywords>
  <cp:lastModifiedBy>Сергей Попов</cp:lastModifiedBy>
  <cp:revision>2</cp:revision>
  <cp:lastPrinted>2012-06-28T09:19:00Z</cp:lastPrinted>
  <dcterms:created xsi:type="dcterms:W3CDTF">2017-08-08T07:50:00Z</dcterms:created>
  <dcterms:modified xsi:type="dcterms:W3CDTF">2017-08-08T07:50:00Z</dcterms:modified>
</cp:coreProperties>
</file>